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FDA61" w14:textId="00A82D30" w:rsidR="00EE7731" w:rsidRDefault="00043D11" w:rsidP="00043D11">
      <w:pPr>
        <w:contextualSpacing/>
        <w:jc w:val="left"/>
      </w:pPr>
      <w:r w:rsidRPr="00043D11">
        <w:t>УДК 621.983.31:623.452.5-034</w:t>
      </w:r>
    </w:p>
    <w:p w14:paraId="17798FFC" w14:textId="4214B3C7" w:rsidR="00123BDB" w:rsidRPr="0018149D" w:rsidRDefault="00E66EEC" w:rsidP="00123BDB">
      <w:pPr>
        <w:contextualSpacing/>
        <w:jc w:val="center"/>
        <w:rPr>
          <w:b/>
        </w:rPr>
      </w:pPr>
      <w:r w:rsidRPr="0018149D">
        <w:rPr>
          <w:b/>
        </w:rPr>
        <w:t xml:space="preserve">НЕРАВНОМЕРНОСТЬ РАСПРЕДЕЛЕНИЯ ДЕФОРМАЦИИ ПРИ ИЗГОТОВЛЕНИИ МЕТАЛЛИЧЕСКИХ ЭЛЕМЕНТОВ </w:t>
      </w:r>
      <w:r w:rsidR="0018149D" w:rsidRPr="0018149D">
        <w:rPr>
          <w:b/>
        </w:rPr>
        <w:t>БОЕПРИПАСОВ</w:t>
      </w:r>
    </w:p>
    <w:p w14:paraId="2D957ABC" w14:textId="7B07CF9C" w:rsidR="00E66EEC" w:rsidRPr="0018149D" w:rsidRDefault="00E66EEC" w:rsidP="00123BDB">
      <w:pPr>
        <w:contextualSpacing/>
        <w:jc w:val="center"/>
      </w:pPr>
      <w:proofErr w:type="spellStart"/>
      <w:r w:rsidRPr="0018149D">
        <w:t>Затеруха</w:t>
      </w:r>
      <w:proofErr w:type="spellEnd"/>
      <w:r w:rsidRPr="0018149D">
        <w:t> Е. В., Сидоров А. Ю.</w:t>
      </w:r>
    </w:p>
    <w:p w14:paraId="5A923D03" w14:textId="75B48556" w:rsidR="00E66EEC" w:rsidRPr="0018149D" w:rsidRDefault="003C3553" w:rsidP="00123BDB">
      <w:pPr>
        <w:contextualSpacing/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0D2C914" wp14:editId="4A0ACE66">
            <wp:simplePos x="0" y="0"/>
            <wp:positionH relativeFrom="column">
              <wp:posOffset>1892935</wp:posOffset>
            </wp:positionH>
            <wp:positionV relativeFrom="paragraph">
              <wp:posOffset>62230</wp:posOffset>
            </wp:positionV>
            <wp:extent cx="1347470" cy="4637405"/>
            <wp:effectExtent l="1638300" t="0" r="1624330" b="0"/>
            <wp:wrapTight wrapText="bothSides">
              <wp:wrapPolygon edited="0">
                <wp:start x="-107" y="21569"/>
                <wp:lineTo x="21269" y="21569"/>
                <wp:lineTo x="21269" y="96"/>
                <wp:lineTo x="-107" y="96"/>
                <wp:lineTo x="-107" y="21569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гильза_разрыв_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H="1">
                      <a:off x="0" y="0"/>
                      <a:ext cx="1347470" cy="463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EEC" w:rsidRPr="0018149D">
        <w:t>Россия, г. Санкт-Петербург, БГТУ «ВОЕНМЕХ» им. Д. Ф. Устинова</w:t>
      </w:r>
    </w:p>
    <w:p w14:paraId="373B7734" w14:textId="77777777" w:rsidR="00E66EEC" w:rsidRDefault="00E66EEC" w:rsidP="00123BDB">
      <w:pPr>
        <w:contextualSpacing/>
        <w:jc w:val="center"/>
      </w:pPr>
    </w:p>
    <w:p w14:paraId="7F58DAEE" w14:textId="4617DDC2" w:rsidR="0032287B" w:rsidRDefault="003B200E" w:rsidP="003B200E">
      <w:pPr>
        <w:contextualSpacing/>
      </w:pPr>
      <w:r w:rsidRPr="003B200E">
        <w:t xml:space="preserve">Главной задачей развития современного машиностроения является повышение эффективности производства, а также качества изделий. В патронно-гильзовом производстве к металлическим элементам, таким как гильза, сердечник и оболочка, предъявляются высокие требования по обеспечению механических свойств, что связано с выполнением условий надежного функционирования при выстреле: жесткость дна гильзы, прочность корпуса гильзы, надежная обтюрация, экстракция и т.д. </w:t>
      </w:r>
      <w:r>
        <w:t>В случае если в одном месте по сечению твердость меньше, а в другом больше, при выстреле возможно образование продольных трещин на корпусе гильзы, что может привести к разрыву гильзы, поломки оружия и, как следствие, к травмированию стрелка. Поэтому для обеспечения надежного функционирования гильзы при выстреле устранение неравномерности механических свойств является первостепенной задачей</w:t>
      </w:r>
      <w:r w:rsidR="002E5BE6" w:rsidRPr="002E5BE6">
        <w:t xml:space="preserve"> [1]</w:t>
      </w:r>
      <w:r>
        <w:t>.</w:t>
      </w:r>
    </w:p>
    <w:p w14:paraId="1CA32C7A" w14:textId="77777777" w:rsidR="003C3553" w:rsidRDefault="003C3553" w:rsidP="003B200E">
      <w:pPr>
        <w:contextualSpacing/>
      </w:pPr>
    </w:p>
    <w:p w14:paraId="71B3CCD8" w14:textId="09B904E9" w:rsidR="003B200E" w:rsidRDefault="003B200E" w:rsidP="003B200E">
      <w:pPr>
        <w:contextualSpacing/>
        <w:jc w:val="center"/>
      </w:pPr>
    </w:p>
    <w:p w14:paraId="19C66505" w14:textId="77777777" w:rsidR="003B200E" w:rsidRPr="00872FD0" w:rsidRDefault="003B200E" w:rsidP="003B200E">
      <w:pPr>
        <w:contextualSpacing/>
        <w:jc w:val="center"/>
        <w:rPr>
          <w:sz w:val="16"/>
        </w:rPr>
      </w:pPr>
      <w:r w:rsidRPr="00872FD0">
        <w:rPr>
          <w:sz w:val="16"/>
        </w:rPr>
        <w:t>Рис. 1. Продольный разрыв гильзы</w:t>
      </w:r>
    </w:p>
    <w:p w14:paraId="6B1E2FAE" w14:textId="77777777" w:rsidR="003B200E" w:rsidRDefault="003B200E" w:rsidP="003B200E">
      <w:pPr>
        <w:contextualSpacing/>
        <w:jc w:val="center"/>
      </w:pPr>
    </w:p>
    <w:p w14:paraId="00180F44" w14:textId="6085371A" w:rsidR="003B200E" w:rsidRDefault="003B200E" w:rsidP="003B200E">
      <w:pPr>
        <w:contextualSpacing/>
      </w:pPr>
      <w:r>
        <w:t xml:space="preserve">Объектом исследования является стальная гильза </w:t>
      </w:r>
      <w:proofErr w:type="spellStart"/>
      <w:r>
        <w:t>клб</w:t>
      </w:r>
      <w:proofErr w:type="spellEnd"/>
      <w:r>
        <w:t>. 57 мм, эскиз которой представлен на рис.</w:t>
      </w:r>
      <w:r w:rsidR="00A97697">
        <w:t> </w:t>
      </w:r>
      <w:r>
        <w:t>2.</w:t>
      </w:r>
    </w:p>
    <w:p w14:paraId="360E4A4B" w14:textId="77777777" w:rsidR="003B200E" w:rsidRDefault="003B200E" w:rsidP="003B200E">
      <w:pPr>
        <w:contextualSpacing/>
      </w:pPr>
      <w:r>
        <w:t>Гильза – элемент артиллерийского выстрела, предназначенный для размещения порохового заряда, средств воспламенения, а также для обтюрации газов в процессе выстрела.</w:t>
      </w:r>
    </w:p>
    <w:p w14:paraId="5D44E7A0" w14:textId="77777777" w:rsidR="003B200E" w:rsidRDefault="003B200E" w:rsidP="003B200E">
      <w:pPr>
        <w:contextualSpacing/>
      </w:pPr>
    </w:p>
    <w:p w14:paraId="3776DE6F" w14:textId="1C6A2181" w:rsidR="003B200E" w:rsidRDefault="003C3553" w:rsidP="003B200E">
      <w:pPr>
        <w:contextualSpacing/>
      </w:pPr>
      <w:r>
        <w:rPr>
          <w:noProof/>
        </w:rPr>
        <w:drawing>
          <wp:inline distT="0" distB="0" distL="0" distR="0" wp14:anchorId="2E9406B0" wp14:editId="2E6A87E4">
            <wp:extent cx="4689043" cy="208690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эскиз гильзы_новый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7409" cy="2095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02515" w14:textId="77777777" w:rsidR="003B200E" w:rsidRPr="00872FD0" w:rsidRDefault="003B200E" w:rsidP="003B200E">
      <w:pPr>
        <w:contextualSpacing/>
        <w:jc w:val="center"/>
        <w:rPr>
          <w:sz w:val="16"/>
        </w:rPr>
      </w:pPr>
      <w:r w:rsidRPr="00872FD0">
        <w:rPr>
          <w:sz w:val="16"/>
        </w:rPr>
        <w:t xml:space="preserve">Рис. 2. Эскиз гильзы </w:t>
      </w:r>
      <w:proofErr w:type="spellStart"/>
      <w:r w:rsidRPr="00872FD0">
        <w:rPr>
          <w:sz w:val="16"/>
        </w:rPr>
        <w:t>клб</w:t>
      </w:r>
      <w:proofErr w:type="spellEnd"/>
      <w:r w:rsidRPr="00872FD0">
        <w:rPr>
          <w:sz w:val="16"/>
        </w:rPr>
        <w:t>. 57 мм</w:t>
      </w:r>
    </w:p>
    <w:p w14:paraId="45DB91E3" w14:textId="77777777" w:rsidR="003B200E" w:rsidRDefault="003B200E" w:rsidP="003B200E">
      <w:pPr>
        <w:contextualSpacing/>
        <w:jc w:val="center"/>
      </w:pPr>
    </w:p>
    <w:p w14:paraId="13788397" w14:textId="77777777" w:rsidR="003B200E" w:rsidRDefault="003B200E" w:rsidP="003B200E">
      <w:pPr>
        <w:contextualSpacing/>
      </w:pPr>
      <w:r>
        <w:t xml:space="preserve">Механические свойства формируются при изготовлении гильзы, структура которого включает в себя следующие этапы: </w:t>
      </w:r>
    </w:p>
    <w:p w14:paraId="115CEE55" w14:textId="77777777" w:rsidR="003B200E" w:rsidRDefault="003B200E" w:rsidP="003B200E">
      <w:pPr>
        <w:contextualSpacing/>
      </w:pPr>
      <w:r>
        <w:t>1.</w:t>
      </w:r>
      <w:r>
        <w:tab/>
        <w:t>Изготовление исходной сплошной заготовки (вырубка).</w:t>
      </w:r>
    </w:p>
    <w:p w14:paraId="352FE861" w14:textId="77777777" w:rsidR="003B200E" w:rsidRDefault="003B200E" w:rsidP="003B200E">
      <w:pPr>
        <w:contextualSpacing/>
      </w:pPr>
      <w:r>
        <w:t>2.</w:t>
      </w:r>
      <w:r>
        <w:tab/>
        <w:t>Формообразование исходной полой заготовки (свертка).</w:t>
      </w:r>
    </w:p>
    <w:p w14:paraId="09F29F3E" w14:textId="77777777" w:rsidR="003B200E" w:rsidRDefault="003B200E" w:rsidP="003B200E">
      <w:pPr>
        <w:contextualSpacing/>
      </w:pPr>
      <w:r>
        <w:lastRenderedPageBreak/>
        <w:t>3.</w:t>
      </w:r>
      <w:r>
        <w:tab/>
        <w:t>Формообразование стенки (вытяжки с утонением 1-5).</w:t>
      </w:r>
    </w:p>
    <w:p w14:paraId="3BD3C45F" w14:textId="77777777" w:rsidR="003B200E" w:rsidRDefault="003B200E" w:rsidP="003B200E">
      <w:pPr>
        <w:contextualSpacing/>
      </w:pPr>
      <w:r>
        <w:t>4.</w:t>
      </w:r>
      <w:r>
        <w:tab/>
        <w:t>Предварительное формообразование конструктивных элементов дна детали (штамповки 1-2).</w:t>
      </w:r>
    </w:p>
    <w:p w14:paraId="462148DA" w14:textId="77777777" w:rsidR="003B200E" w:rsidRDefault="003B200E" w:rsidP="003B200E">
      <w:pPr>
        <w:contextualSpacing/>
      </w:pPr>
      <w:r>
        <w:t>5.</w:t>
      </w:r>
      <w:r>
        <w:tab/>
        <w:t>Окончательное формирование конструктивных элементов стенки – дульце, скат (обжим 1-3).</w:t>
      </w:r>
    </w:p>
    <w:p w14:paraId="05F4B2F5" w14:textId="77777777" w:rsidR="003B200E" w:rsidRDefault="003B200E" w:rsidP="003B200E">
      <w:pPr>
        <w:contextualSpacing/>
      </w:pPr>
      <w:r>
        <w:t>Основной формообразующей и формирующей механические свойства корпуса гильзы операцией является вытяжка с утонением</w:t>
      </w:r>
      <w:r w:rsidR="002E5BE6">
        <w:t xml:space="preserve"> </w:t>
      </w:r>
      <w:r w:rsidR="002E5BE6" w:rsidRPr="002E5BE6">
        <w:t>[2]</w:t>
      </w:r>
      <w:r>
        <w:t>.</w:t>
      </w:r>
    </w:p>
    <w:p w14:paraId="178219BA" w14:textId="77777777" w:rsidR="003B200E" w:rsidRDefault="003B200E" w:rsidP="003B200E">
      <w:pPr>
        <w:contextualSpacing/>
      </w:pPr>
      <w:r>
        <w:t>Вытяжка с утонением – это операция вытяжки полой заготовки с обусловленным уменьшением толщины стенок исходной полой заготовки без изменения ее внутреннего диаметра.</w:t>
      </w:r>
    </w:p>
    <w:p w14:paraId="7521BB4D" w14:textId="77777777" w:rsidR="00663C8C" w:rsidRDefault="00663C8C" w:rsidP="003B200E">
      <w:pPr>
        <w:contextualSpacing/>
      </w:pPr>
    </w:p>
    <w:p w14:paraId="2A1B64CC" w14:textId="77777777" w:rsidR="00663C8C" w:rsidRDefault="00663C8C" w:rsidP="00663C8C">
      <w:pPr>
        <w:contextualSpacing/>
        <w:jc w:val="center"/>
      </w:pPr>
      <w:r w:rsidRPr="00663C8C">
        <w:rPr>
          <w:noProof/>
          <w:lang w:eastAsia="ru-RU"/>
        </w:rPr>
        <w:drawing>
          <wp:inline distT="0" distB="0" distL="0" distR="0" wp14:anchorId="137F96A5" wp14:editId="43719614">
            <wp:extent cx="1645920" cy="1667866"/>
            <wp:effectExtent l="0" t="0" r="0" b="0"/>
            <wp:docPr id="7" name="Рисунок 6" descr="рис.1.JPG">
              <a:extLst xmlns:a="http://schemas.openxmlformats.org/drawingml/2006/main">
                <a:ext uri="{FF2B5EF4-FFF2-40B4-BE49-F238E27FC236}">
                  <a16:creationId xmlns:a16="http://schemas.microsoft.com/office/drawing/2014/main" id="{8DB052E3-956B-4C30-ADFA-7E6CA7BBDC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рис.1.JPG">
                      <a:extLst>
                        <a:ext uri="{FF2B5EF4-FFF2-40B4-BE49-F238E27FC236}">
                          <a16:creationId xmlns:a16="http://schemas.microsoft.com/office/drawing/2014/main" id="{8DB052E3-956B-4C30-ADFA-7E6CA7BBDC2C}"/>
                        </a:ext>
                      </a:extLst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0397" cy="1753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6A845" w14:textId="47EC142A" w:rsidR="00663C8C" w:rsidRPr="00872FD0" w:rsidRDefault="00663C8C" w:rsidP="00663C8C">
      <w:pPr>
        <w:contextualSpacing/>
        <w:jc w:val="center"/>
        <w:rPr>
          <w:sz w:val="16"/>
        </w:rPr>
      </w:pPr>
      <w:r w:rsidRPr="00872FD0">
        <w:rPr>
          <w:sz w:val="16"/>
        </w:rPr>
        <w:t>Рис. 3. Схема вытяжки с утонением стенки</w:t>
      </w:r>
    </w:p>
    <w:p w14:paraId="46CE5D09" w14:textId="77777777" w:rsidR="003C3553" w:rsidRDefault="003C3553" w:rsidP="00663C8C">
      <w:pPr>
        <w:contextualSpacing/>
        <w:jc w:val="center"/>
      </w:pPr>
    </w:p>
    <w:p w14:paraId="08A9F45F" w14:textId="77777777" w:rsidR="003B200E" w:rsidRDefault="003B200E" w:rsidP="003B200E">
      <w:pPr>
        <w:contextualSpacing/>
      </w:pPr>
      <w:r>
        <w:t>Вытяжка с утонением стенки применяется для получения высоких пустотелых деталей или полуфабрикатов, у которых толщина дна больше толщины стенки (гильзы, баллоны и т.п.).</w:t>
      </w:r>
    </w:p>
    <w:p w14:paraId="7B109303" w14:textId="77777777" w:rsidR="00663C8C" w:rsidRDefault="00663C8C" w:rsidP="00663C8C">
      <w:pPr>
        <w:contextualSpacing/>
      </w:pPr>
      <w:r>
        <w:t>Исходя из анализа научно-технической литературы можно сделать вывод, что на равномерность распределения формируемых механических свойств при вытяжке с утонением стенки влияют следующие факторы:</w:t>
      </w:r>
    </w:p>
    <w:p w14:paraId="45E4C443" w14:textId="77777777" w:rsidR="00663C8C" w:rsidRDefault="00663C8C" w:rsidP="00663C8C">
      <w:pPr>
        <w:contextualSpacing/>
      </w:pPr>
      <w:r>
        <w:t>1.</w:t>
      </w:r>
      <w:r>
        <w:tab/>
        <w:t>Степень деформации.</w:t>
      </w:r>
    </w:p>
    <w:p w14:paraId="744A2703" w14:textId="77777777" w:rsidR="00663C8C" w:rsidRDefault="00663C8C" w:rsidP="00663C8C">
      <w:pPr>
        <w:contextualSpacing/>
      </w:pPr>
      <w:r>
        <w:t>2.</w:t>
      </w:r>
      <w:r>
        <w:tab/>
        <w:t>Скорость деформации.</w:t>
      </w:r>
    </w:p>
    <w:p w14:paraId="5BC794C6" w14:textId="77777777" w:rsidR="00663C8C" w:rsidRDefault="00663C8C" w:rsidP="00663C8C">
      <w:pPr>
        <w:contextualSpacing/>
      </w:pPr>
      <w:r>
        <w:t>3.</w:t>
      </w:r>
      <w:r>
        <w:tab/>
        <w:t>Геометрия инструмента (углы конусности пуансона и матрицы).</w:t>
      </w:r>
    </w:p>
    <w:p w14:paraId="12A36558" w14:textId="77777777" w:rsidR="00663C8C" w:rsidRDefault="00663C8C" w:rsidP="00663C8C">
      <w:pPr>
        <w:contextualSpacing/>
      </w:pPr>
      <w:r>
        <w:t>4.</w:t>
      </w:r>
      <w:r>
        <w:tab/>
        <w:t>Условия контактного трения.</w:t>
      </w:r>
    </w:p>
    <w:p w14:paraId="2173ACA6" w14:textId="77777777" w:rsidR="00663C8C" w:rsidRDefault="00663C8C" w:rsidP="00663C8C">
      <w:pPr>
        <w:contextualSpacing/>
      </w:pPr>
      <w:r>
        <w:t>5.</w:t>
      </w:r>
      <w:r>
        <w:tab/>
        <w:t xml:space="preserve">Относительная </w:t>
      </w:r>
      <w:proofErr w:type="spellStart"/>
      <w:r>
        <w:t>разностенность</w:t>
      </w:r>
      <w:proofErr w:type="spellEnd"/>
      <w:r>
        <w:t>.</w:t>
      </w:r>
    </w:p>
    <w:p w14:paraId="6DB32150" w14:textId="77777777" w:rsidR="00663C8C" w:rsidRDefault="00663C8C" w:rsidP="00663C8C">
      <w:pPr>
        <w:contextualSpacing/>
      </w:pPr>
      <w:r>
        <w:t>6.</w:t>
      </w:r>
      <w:r>
        <w:tab/>
        <w:t>Форма исходной заготовки.</w:t>
      </w:r>
    </w:p>
    <w:p w14:paraId="0C11DF12" w14:textId="77777777" w:rsidR="00663C8C" w:rsidRDefault="00663C8C" w:rsidP="00663C8C">
      <w:pPr>
        <w:contextualSpacing/>
      </w:pPr>
      <w:r>
        <w:t>7.</w:t>
      </w:r>
      <w:r>
        <w:tab/>
        <w:t>Неравномерность распределения степени накопленной за время штамповки деформации по толщине стенки.</w:t>
      </w:r>
    </w:p>
    <w:p w14:paraId="24A76352" w14:textId="77777777" w:rsidR="00663C8C" w:rsidRDefault="00663C8C" w:rsidP="00663C8C">
      <w:pPr>
        <w:contextualSpacing/>
      </w:pPr>
      <w:r>
        <w:t>8.</w:t>
      </w:r>
      <w:r>
        <w:tab/>
        <w:t>Степень неоднородности свойств обрабатываемого металла.</w:t>
      </w:r>
    </w:p>
    <w:p w14:paraId="449A19F4" w14:textId="63800776" w:rsidR="00663C8C" w:rsidRDefault="00663C8C" w:rsidP="00663C8C">
      <w:pPr>
        <w:contextualSpacing/>
      </w:pPr>
      <w:r>
        <w:t>Первым фактором для исследования выбрано контактное трение, так как при вытяжки с утонением</w:t>
      </w:r>
      <w:r w:rsidR="003C3553">
        <w:t xml:space="preserve"> </w:t>
      </w:r>
      <w:r>
        <w:t>оно</w:t>
      </w:r>
      <w:r w:rsidR="003C3553">
        <w:t xml:space="preserve"> </w:t>
      </w:r>
      <w:r>
        <w:t>оказывает наибольшее влияние на формирование механических свойств.</w:t>
      </w:r>
    </w:p>
    <w:p w14:paraId="4417C8E5" w14:textId="54D7A602" w:rsidR="00663C8C" w:rsidRDefault="00663C8C" w:rsidP="00663C8C">
      <w:pPr>
        <w:contextualSpacing/>
      </w:pPr>
      <w:r>
        <w:t>Авторами в</w:t>
      </w:r>
      <w:r w:rsidRPr="00663C8C">
        <w:t>ыполнено компьютерное моделирование процесса с применением метода конечных элементов. Выделены верхнее и нижнее расчетные сечения, в которых исследуется распределение деформации</w:t>
      </w:r>
      <w:r>
        <w:t xml:space="preserve"> (рис. 5)</w:t>
      </w:r>
      <w:r w:rsidRPr="00663C8C">
        <w:t>.</w:t>
      </w:r>
    </w:p>
    <w:p w14:paraId="70088F63" w14:textId="77777777" w:rsidR="003C3553" w:rsidRDefault="003C3553" w:rsidP="00663C8C">
      <w:pPr>
        <w:contextualSpacing/>
      </w:pPr>
    </w:p>
    <w:p w14:paraId="23D340D2" w14:textId="6B2C76FD" w:rsidR="00663C8C" w:rsidRDefault="00663C8C" w:rsidP="00663C8C">
      <w:pPr>
        <w:contextualSpacing/>
        <w:jc w:val="center"/>
      </w:pPr>
      <w:r w:rsidRPr="00663C8C">
        <w:rPr>
          <w:noProof/>
          <w:lang w:eastAsia="ru-RU"/>
        </w:rPr>
        <w:drawing>
          <wp:inline distT="0" distB="0" distL="0" distR="0" wp14:anchorId="735ABC2F" wp14:editId="1F47FC45">
            <wp:extent cx="1302105" cy="1609344"/>
            <wp:effectExtent l="0" t="0" r="0" b="0"/>
            <wp:docPr id="5" name="Объект 3" descr="рис.7.JPG">
              <a:extLst xmlns:a="http://schemas.openxmlformats.org/drawingml/2006/main">
                <a:ext uri="{FF2B5EF4-FFF2-40B4-BE49-F238E27FC236}">
                  <a16:creationId xmlns:a16="http://schemas.microsoft.com/office/drawing/2014/main" id="{AEAC8650-8EC5-4400-94DC-35F450905C1B}"/>
                </a:ext>
              </a:extLst>
            </wp:docPr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3" descr="рис.7.JPG">
                      <a:extLst>
                        <a:ext uri="{FF2B5EF4-FFF2-40B4-BE49-F238E27FC236}">
                          <a16:creationId xmlns:a16="http://schemas.microsoft.com/office/drawing/2014/main" id="{AEAC8650-8EC5-4400-94DC-35F450905C1B}"/>
                        </a:ext>
                      </a:extLst>
                    </pic:cNvPr>
                    <pic:cNvPicPr>
                      <a:picLocks noGrp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329" cy="170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DA7AC" w14:textId="09762A5C" w:rsidR="003C3553" w:rsidRDefault="003C3553" w:rsidP="00663C8C">
      <w:pPr>
        <w:contextualSpacing/>
        <w:jc w:val="center"/>
      </w:pPr>
    </w:p>
    <w:p w14:paraId="1543B9BB" w14:textId="3E94B301" w:rsidR="003C3553" w:rsidRPr="00872FD0" w:rsidRDefault="003C3553" w:rsidP="00663C8C">
      <w:pPr>
        <w:contextualSpacing/>
        <w:jc w:val="center"/>
        <w:rPr>
          <w:sz w:val="16"/>
        </w:rPr>
      </w:pPr>
      <w:r w:rsidRPr="00872FD0">
        <w:rPr>
          <w:sz w:val="16"/>
        </w:rPr>
        <w:t>Рис. 4. Разбиение модели на конечные элементы</w:t>
      </w:r>
    </w:p>
    <w:p w14:paraId="7A6A7E0B" w14:textId="0E2E3495" w:rsidR="00663C8C" w:rsidRDefault="00663C8C" w:rsidP="00663C8C">
      <w:pPr>
        <w:contextualSpacing/>
        <w:jc w:val="center"/>
      </w:pPr>
      <w:r w:rsidRPr="00663C8C">
        <w:rPr>
          <w:noProof/>
          <w:lang w:eastAsia="ru-RU"/>
        </w:rPr>
        <w:lastRenderedPageBreak/>
        <w:drawing>
          <wp:inline distT="0" distB="0" distL="0" distR="0" wp14:anchorId="3BC38AB8" wp14:editId="57BFB0DD">
            <wp:extent cx="1771650" cy="1923898"/>
            <wp:effectExtent l="0" t="0" r="0" b="0"/>
            <wp:docPr id="1" name="Рисунок 5" descr="рис.8.JPG">
              <a:extLst xmlns:a="http://schemas.openxmlformats.org/drawingml/2006/main">
                <a:ext uri="{FF2B5EF4-FFF2-40B4-BE49-F238E27FC236}">
                  <a16:creationId xmlns:a16="http://schemas.microsoft.com/office/drawing/2014/main" id="{9C68ADF0-2042-498A-879F-45904A35445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рис.8.JPG">
                      <a:extLst>
                        <a:ext uri="{FF2B5EF4-FFF2-40B4-BE49-F238E27FC236}">
                          <a16:creationId xmlns:a16="http://schemas.microsoft.com/office/drawing/2014/main" id="{9C68ADF0-2042-498A-879F-45904A354454}"/>
                        </a:ext>
                      </a:extLst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2672" cy="193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3F306" w14:textId="77777777" w:rsidR="003C3553" w:rsidRDefault="003C3553" w:rsidP="00663C8C">
      <w:pPr>
        <w:contextualSpacing/>
        <w:jc w:val="center"/>
      </w:pPr>
    </w:p>
    <w:p w14:paraId="05C0A7A6" w14:textId="5799B8B3" w:rsidR="00663C8C" w:rsidRPr="00872FD0" w:rsidRDefault="00663C8C" w:rsidP="003C3553">
      <w:pPr>
        <w:contextualSpacing/>
        <w:jc w:val="center"/>
        <w:rPr>
          <w:sz w:val="16"/>
        </w:rPr>
      </w:pPr>
      <w:r w:rsidRPr="00872FD0">
        <w:rPr>
          <w:sz w:val="16"/>
        </w:rPr>
        <w:t>Рис. 5. Верхнее и нижнее расчетные сечения</w:t>
      </w:r>
    </w:p>
    <w:p w14:paraId="3F4F8936" w14:textId="77777777" w:rsidR="003C3553" w:rsidRDefault="003C3553" w:rsidP="003C3553">
      <w:pPr>
        <w:contextualSpacing/>
        <w:jc w:val="center"/>
      </w:pPr>
    </w:p>
    <w:p w14:paraId="644E0F08" w14:textId="77777777" w:rsidR="00663C8C" w:rsidRDefault="00663C8C" w:rsidP="00663C8C">
      <w:pPr>
        <w:contextualSpacing/>
      </w:pPr>
      <w:r>
        <w:t xml:space="preserve">Исходными данными для моделирования являются полуфабрикат третей вытяжки без утонения и механические свойства стали 11ЮА в отожженном состоянии, которые представлены </w:t>
      </w:r>
      <w:r w:rsidR="00882D5D">
        <w:t>в табл. 1</w:t>
      </w:r>
      <w:r>
        <w:t>.</w:t>
      </w:r>
    </w:p>
    <w:p w14:paraId="21A3A2D0" w14:textId="77777777" w:rsidR="00663C8C" w:rsidRDefault="00663C8C" w:rsidP="00663C8C">
      <w:pPr>
        <w:contextualSpacing/>
      </w:pPr>
    </w:p>
    <w:p w14:paraId="1DA9D789" w14:textId="77777777" w:rsidR="00882D5D" w:rsidRPr="00872FD0" w:rsidRDefault="00882D5D" w:rsidP="00882D5D">
      <w:pPr>
        <w:ind w:firstLine="0"/>
        <w:contextualSpacing/>
        <w:rPr>
          <w:sz w:val="16"/>
        </w:rPr>
      </w:pPr>
      <w:r w:rsidRPr="00872FD0">
        <w:rPr>
          <w:sz w:val="16"/>
        </w:rPr>
        <w:t>Табл. 1. Механические свойства стали 11ЮА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80"/>
        <w:gridCol w:w="1115"/>
        <w:gridCol w:w="1115"/>
        <w:gridCol w:w="1169"/>
        <w:gridCol w:w="920"/>
        <w:gridCol w:w="871"/>
        <w:gridCol w:w="928"/>
        <w:gridCol w:w="954"/>
      </w:tblGrid>
      <w:tr w:rsidR="00727D18" w:rsidRPr="00727D18" w14:paraId="5FDD3AE5" w14:textId="77777777" w:rsidTr="00727D18">
        <w:trPr>
          <w:trHeight w:val="268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E71AC" w14:textId="17389D4A" w:rsidR="00882D5D" w:rsidRPr="00727D18" w:rsidRDefault="00C71F96" w:rsidP="00727D18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14"/>
                      <w:szCs w:val="16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</w:rPr>
                    <m:t>0,2</m:t>
                  </m:r>
                </m:sub>
              </m:sSub>
              <m:r>
                <w:rPr>
                  <w:rFonts w:ascii="Cambria Math" w:eastAsia="Calibri" w:hAnsi="Cambria Math" w:cs="Times New Roman"/>
                  <w:sz w:val="14"/>
                  <w:szCs w:val="16"/>
                </w:rPr>
                <m:t xml:space="preserve">, </m:t>
              </m:r>
            </m:oMath>
            <w:r w:rsidR="00882D5D" w:rsidRPr="00727D18">
              <w:rPr>
                <w:rFonts w:eastAsia="Calibri" w:cs="Times New Roman"/>
                <w:sz w:val="14"/>
                <w:szCs w:val="16"/>
                <w:vertAlign w:val="subscript"/>
              </w:rPr>
              <w:t>МПа</w:t>
            </w:r>
          </w:p>
        </w:tc>
        <w:bookmarkStart w:id="0" w:name="_Hlk531541510"/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913B" w14:textId="77777777" w:rsidR="00882D5D" w:rsidRPr="00727D18" w:rsidRDefault="00C71F96" w:rsidP="00727D18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14"/>
                      <w:szCs w:val="16"/>
                      <w:vertAlign w:val="subscript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  <w:vertAlign w:val="subscript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  <w:vertAlign w:val="subscript"/>
                    </w:rPr>
                    <m:t>B</m:t>
                  </m:r>
                </m:sub>
              </m:sSub>
            </m:oMath>
            <w:r w:rsidR="00882D5D" w:rsidRPr="00727D18">
              <w:rPr>
                <w:rFonts w:eastAsia="Calibri" w:cs="Times New Roman"/>
                <w:sz w:val="14"/>
                <w:szCs w:val="16"/>
                <w:vertAlign w:val="subscript"/>
              </w:rPr>
              <w:t xml:space="preserve">, </w:t>
            </w:r>
            <w:bookmarkEnd w:id="0"/>
            <w:r w:rsidR="00882D5D" w:rsidRPr="00727D18">
              <w:rPr>
                <w:rFonts w:eastAsia="Calibri" w:cs="Times New Roman"/>
                <w:sz w:val="14"/>
                <w:szCs w:val="16"/>
                <w:vertAlign w:val="subscript"/>
              </w:rPr>
              <w:t>МПа</w:t>
            </w:r>
          </w:p>
        </w:tc>
        <w:bookmarkStart w:id="1" w:name="_Hlk531541560"/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F2B52" w14:textId="77777777" w:rsidR="00882D5D" w:rsidRPr="00727D18" w:rsidRDefault="00C71F96" w:rsidP="00727D18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14"/>
                      <w:szCs w:val="16"/>
                      <w:vertAlign w:val="subscript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  <w:vertAlign w:val="subscript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  <w:vertAlign w:val="subscript"/>
                    </w:rPr>
                    <m:t>iу</m:t>
                  </m:r>
                </m:sub>
              </m:sSub>
              <m:r>
                <w:rPr>
                  <w:rFonts w:ascii="Cambria Math" w:eastAsia="Calibri" w:hAnsi="Cambria Math" w:cs="Times New Roman"/>
                  <w:sz w:val="14"/>
                  <w:szCs w:val="16"/>
                  <w:vertAlign w:val="subscript"/>
                </w:rPr>
                <m:t>,</m:t>
              </m:r>
            </m:oMath>
            <w:r w:rsidR="00882D5D" w:rsidRPr="00727D18">
              <w:rPr>
                <w:rFonts w:eastAsia="Calibri" w:cs="Times New Roman"/>
                <w:sz w:val="14"/>
                <w:szCs w:val="16"/>
                <w:vertAlign w:val="subscript"/>
              </w:rPr>
              <w:t xml:space="preserve"> МПа</w:t>
            </w:r>
            <w:bookmarkEnd w:id="1"/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CD0B" w14:textId="77777777" w:rsidR="00882D5D" w:rsidRPr="00727D18" w:rsidRDefault="00C71F96" w:rsidP="00727D18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14"/>
                      <w:szCs w:val="16"/>
                      <w:vertAlign w:val="subscript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  <w:vertAlign w:val="subscript"/>
                    </w:rPr>
                    <m:t>σ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  <w:vertAlign w:val="subscript"/>
                    </w:rPr>
                    <m:t>iр</m:t>
                  </m:r>
                </m:sub>
              </m:sSub>
              <m:r>
                <w:rPr>
                  <w:rFonts w:ascii="Cambria Math" w:eastAsia="Calibri" w:hAnsi="Cambria Math" w:cs="Times New Roman"/>
                  <w:sz w:val="14"/>
                  <w:szCs w:val="16"/>
                  <w:vertAlign w:val="subscript"/>
                </w:rPr>
                <m:t>,</m:t>
              </m:r>
            </m:oMath>
            <w:r w:rsidR="00882D5D" w:rsidRPr="00727D18">
              <w:rPr>
                <w:rFonts w:eastAsia="Calibri" w:cs="Times New Roman"/>
                <w:sz w:val="14"/>
                <w:szCs w:val="16"/>
                <w:vertAlign w:val="subscript"/>
              </w:rPr>
              <w:t xml:space="preserve"> МПа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0892" w14:textId="77777777" w:rsidR="00882D5D" w:rsidRPr="00727D18" w:rsidRDefault="00C71F96" w:rsidP="00727D18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4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14"/>
                        <w:szCs w:val="16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14"/>
                        <w:szCs w:val="16"/>
                      </w:rPr>
                      <m:t>iy</m:t>
                    </m:r>
                  </m:sub>
                </m:sSub>
              </m:oMath>
            </m:oMathPara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A041" w14:textId="77777777" w:rsidR="00882D5D" w:rsidRPr="00727D18" w:rsidRDefault="00C71F96" w:rsidP="00727D18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4"/>
                        <w:szCs w:val="16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14"/>
                        <w:szCs w:val="16"/>
                        <w:vertAlign w:val="subscript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14"/>
                        <w:szCs w:val="16"/>
                        <w:vertAlign w:val="subscript"/>
                      </w:rPr>
                      <m:t>iр</m:t>
                    </m:r>
                  </m:sub>
                </m:sSub>
              </m:oMath>
            </m:oMathPara>
          </w:p>
        </w:tc>
        <w:bookmarkStart w:id="2" w:name="_Hlk531580364"/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C7F0" w14:textId="77777777" w:rsidR="00882D5D" w:rsidRPr="00727D18" w:rsidRDefault="00C71F96" w:rsidP="00727D18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  <w:vertAlign w:val="subscript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14"/>
                      <w:szCs w:val="16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</w:rPr>
                    <m:t>Ψ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</w:rPr>
                    <m:t>у</m:t>
                  </m:r>
                </m:sub>
              </m:sSub>
            </m:oMath>
            <w:bookmarkEnd w:id="2"/>
            <w:r w:rsidR="00882D5D" w:rsidRPr="00727D18">
              <w:rPr>
                <w:rFonts w:eastAsia="Calibri" w:cs="Times New Roman"/>
                <w:sz w:val="14"/>
                <w:szCs w:val="16"/>
                <w:vertAlign w:val="subscript"/>
              </w:rPr>
              <w:t xml:space="preserve">, </w:t>
            </w:r>
            <w:r w:rsidR="00882D5D" w:rsidRPr="00727D18">
              <w:rPr>
                <w:rFonts w:eastAsia="Calibri" w:cs="Times New Roman"/>
                <w:sz w:val="14"/>
                <w:szCs w:val="16"/>
              </w:rPr>
              <w:t>%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125D" w14:textId="77777777" w:rsidR="00882D5D" w:rsidRPr="00727D18" w:rsidRDefault="00C71F96" w:rsidP="00727D18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-18"/>
              <w:contextualSpacing/>
              <w:jc w:val="center"/>
              <w:rPr>
                <w:rFonts w:eastAsia="Calibri" w:cs="Times New Roman"/>
                <w:sz w:val="14"/>
                <w:szCs w:val="16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14"/>
                      <w:szCs w:val="16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</w:rPr>
                    <m:t>Ψ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14"/>
                      <w:szCs w:val="16"/>
                    </w:rPr>
                    <m:t>р</m:t>
                  </m:r>
                </m:sub>
              </m:sSub>
            </m:oMath>
            <w:r w:rsidR="00882D5D" w:rsidRPr="00727D18">
              <w:rPr>
                <w:rFonts w:eastAsia="Calibri" w:cs="Times New Roman"/>
                <w:sz w:val="14"/>
                <w:szCs w:val="16"/>
              </w:rPr>
              <w:t>, %</w:t>
            </w:r>
          </w:p>
        </w:tc>
      </w:tr>
      <w:tr w:rsidR="00727D18" w:rsidRPr="00727D18" w14:paraId="1D6194EB" w14:textId="77777777" w:rsidTr="00727D18">
        <w:trPr>
          <w:trHeight w:val="344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5D79" w14:textId="77777777" w:rsidR="00882D5D" w:rsidRPr="00727D18" w:rsidRDefault="00882D5D" w:rsidP="00727D1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</w:rPr>
            </w:pPr>
            <w:r w:rsidRPr="00727D18">
              <w:rPr>
                <w:rFonts w:eastAsia="Calibri" w:cs="Times New Roman"/>
                <w:sz w:val="14"/>
                <w:szCs w:val="16"/>
              </w:rPr>
              <w:t>280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3D594" w14:textId="77777777" w:rsidR="00882D5D" w:rsidRPr="00727D18" w:rsidRDefault="00882D5D" w:rsidP="00727D1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</w:rPr>
            </w:pPr>
            <w:r w:rsidRPr="00727D18">
              <w:rPr>
                <w:rFonts w:eastAsia="Calibri" w:cs="Times New Roman"/>
                <w:sz w:val="14"/>
                <w:szCs w:val="16"/>
              </w:rPr>
              <w:t>400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7AD0" w14:textId="77777777" w:rsidR="00882D5D" w:rsidRPr="00727D18" w:rsidRDefault="00882D5D" w:rsidP="00727D1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</w:rPr>
            </w:pPr>
            <w:r w:rsidRPr="00727D18">
              <w:rPr>
                <w:rFonts w:eastAsia="Calibri" w:cs="Times New Roman"/>
                <w:sz w:val="14"/>
                <w:szCs w:val="16"/>
              </w:rPr>
              <w:t>480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548E" w14:textId="77777777" w:rsidR="00882D5D" w:rsidRPr="00727D18" w:rsidRDefault="00882D5D" w:rsidP="00727D1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</w:rPr>
            </w:pPr>
            <w:r w:rsidRPr="00727D18">
              <w:rPr>
                <w:rFonts w:eastAsia="Calibri" w:cs="Times New Roman"/>
                <w:sz w:val="14"/>
                <w:szCs w:val="16"/>
              </w:rPr>
              <w:t>810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A101" w14:textId="75D3B750" w:rsidR="00882D5D" w:rsidRPr="00727D18" w:rsidRDefault="00882D5D" w:rsidP="00727D1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</w:rPr>
            </w:pPr>
            <w:r w:rsidRPr="00727D18">
              <w:rPr>
                <w:rFonts w:eastAsia="Calibri" w:cs="Times New Roman"/>
                <w:sz w:val="14"/>
                <w:szCs w:val="16"/>
              </w:rPr>
              <w:t>0.1</w:t>
            </w:r>
            <w:r w:rsidR="00270C97" w:rsidRPr="00727D18">
              <w:rPr>
                <w:rFonts w:eastAsia="Calibri" w:cs="Times New Roman"/>
                <w:sz w:val="14"/>
                <w:szCs w:val="16"/>
              </w:rPr>
              <w:t>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7FE7" w14:textId="77777777" w:rsidR="00882D5D" w:rsidRPr="00727D18" w:rsidRDefault="00882D5D" w:rsidP="00727D1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</w:rPr>
            </w:pPr>
            <w:r w:rsidRPr="00727D18">
              <w:rPr>
                <w:rFonts w:eastAsia="Calibri" w:cs="Times New Roman"/>
                <w:sz w:val="14"/>
                <w:szCs w:val="16"/>
              </w:rPr>
              <w:t>1.30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80E8" w14:textId="77777777" w:rsidR="00882D5D" w:rsidRPr="00727D18" w:rsidRDefault="00882D5D" w:rsidP="00727D1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</w:rPr>
            </w:pPr>
            <w:r w:rsidRPr="00727D18">
              <w:rPr>
                <w:rFonts w:eastAsia="Calibri" w:cs="Times New Roman"/>
                <w:sz w:val="14"/>
                <w:szCs w:val="16"/>
              </w:rPr>
              <w:t>0.16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22C5" w14:textId="77777777" w:rsidR="00882D5D" w:rsidRPr="00727D18" w:rsidRDefault="00882D5D" w:rsidP="00727D1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eastAsia="Calibri" w:cs="Times New Roman"/>
                <w:sz w:val="14"/>
                <w:szCs w:val="16"/>
              </w:rPr>
            </w:pPr>
            <w:r w:rsidRPr="00727D18">
              <w:rPr>
                <w:rFonts w:eastAsia="Calibri" w:cs="Times New Roman"/>
                <w:sz w:val="14"/>
                <w:szCs w:val="16"/>
              </w:rPr>
              <w:t>0.72</w:t>
            </w:r>
          </w:p>
        </w:tc>
      </w:tr>
    </w:tbl>
    <w:p w14:paraId="439ABB70" w14:textId="77777777" w:rsidR="00882D5D" w:rsidRDefault="00882D5D" w:rsidP="00663C8C">
      <w:pPr>
        <w:contextualSpacing/>
      </w:pPr>
    </w:p>
    <w:p w14:paraId="22158DC8" w14:textId="77777777" w:rsidR="00663C8C" w:rsidRDefault="00663C8C" w:rsidP="00663C8C">
      <w:pPr>
        <w:contextualSpacing/>
      </w:pPr>
      <w:r>
        <w:t>По результатам исследования построены графики распределения деформации по толщине стенки в верхнем и нижнем расчетных сечениях для коэффициентов трения равных 0,07 и 0,15.</w:t>
      </w:r>
    </w:p>
    <w:p w14:paraId="2FED002F" w14:textId="0E222BD0" w:rsidR="00663C8C" w:rsidRDefault="00663C8C" w:rsidP="00663C8C">
      <w:pPr>
        <w:contextualSpacing/>
      </w:pPr>
      <w:r w:rsidRPr="00663C8C">
        <w:rPr>
          <w:noProof/>
          <w:lang w:eastAsia="ru-RU"/>
        </w:rPr>
        <w:drawing>
          <wp:anchor distT="0" distB="0" distL="114300" distR="114300" simplePos="0" relativeHeight="251655168" behindDoc="0" locked="0" layoutInCell="1" allowOverlap="1" wp14:anchorId="371CAEB2" wp14:editId="62B9A71B">
            <wp:simplePos x="0" y="0"/>
            <wp:positionH relativeFrom="column">
              <wp:posOffset>2483114</wp:posOffset>
            </wp:positionH>
            <wp:positionV relativeFrom="paragraph">
              <wp:posOffset>132715</wp:posOffset>
            </wp:positionV>
            <wp:extent cx="2499410" cy="2149571"/>
            <wp:effectExtent l="0" t="0" r="0" b="3175"/>
            <wp:wrapNone/>
            <wp:docPr id="8" name="Рисунок 7">
              <a:extLst xmlns:a="http://schemas.openxmlformats.org/drawingml/2006/main">
                <a:ext uri="{FF2B5EF4-FFF2-40B4-BE49-F238E27FC236}">
                  <a16:creationId xmlns:a16="http://schemas.microsoft.com/office/drawing/2014/main" id="{3D74A7AC-419E-4200-ADAE-48C7195331B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>
                      <a:extLst>
                        <a:ext uri="{FF2B5EF4-FFF2-40B4-BE49-F238E27FC236}">
                          <a16:creationId xmlns:a16="http://schemas.microsoft.com/office/drawing/2014/main" id="{3D74A7AC-419E-4200-ADAE-48C7195331B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410" cy="2149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3C8C">
        <w:rPr>
          <w:noProof/>
          <w:lang w:eastAsia="ru-RU"/>
        </w:rPr>
        <w:drawing>
          <wp:anchor distT="0" distB="0" distL="114300" distR="114300" simplePos="0" relativeHeight="251654144" behindDoc="0" locked="0" layoutInCell="1" allowOverlap="1" wp14:anchorId="1B4627EF" wp14:editId="1B9CA02D">
            <wp:simplePos x="0" y="0"/>
            <wp:positionH relativeFrom="column">
              <wp:posOffset>-4169</wp:posOffset>
            </wp:positionH>
            <wp:positionV relativeFrom="paragraph">
              <wp:posOffset>136830</wp:posOffset>
            </wp:positionV>
            <wp:extent cx="2499964" cy="2146852"/>
            <wp:effectExtent l="0" t="0" r="0" b="6350"/>
            <wp:wrapNone/>
            <wp:docPr id="2" name="Рисунок 5">
              <a:extLst xmlns:a="http://schemas.openxmlformats.org/drawingml/2006/main">
                <a:ext uri="{FF2B5EF4-FFF2-40B4-BE49-F238E27FC236}">
                  <a16:creationId xmlns:a16="http://schemas.microsoft.com/office/drawing/2014/main" id="{23968F0D-B118-4C3A-8C7C-1CFD915BD80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>
                      <a:extLst>
                        <a:ext uri="{FF2B5EF4-FFF2-40B4-BE49-F238E27FC236}">
                          <a16:creationId xmlns:a16="http://schemas.microsoft.com/office/drawing/2014/main" id="{23968F0D-B118-4C3A-8C7C-1CFD915BD80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964" cy="21468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CCC57" w14:textId="77777777" w:rsidR="00DB08FA" w:rsidRPr="00DB08FA" w:rsidRDefault="00DB08FA" w:rsidP="00DB08FA"/>
    <w:p w14:paraId="7BA7E118" w14:textId="77777777" w:rsidR="00DB08FA" w:rsidRPr="00DB08FA" w:rsidRDefault="00DB08FA" w:rsidP="00DB08FA"/>
    <w:p w14:paraId="72735E76" w14:textId="77777777" w:rsidR="00DB08FA" w:rsidRPr="00DB08FA" w:rsidRDefault="00DB08FA" w:rsidP="00DB08FA"/>
    <w:p w14:paraId="4EFBC1BD" w14:textId="76F165DE" w:rsidR="00DB08FA" w:rsidRDefault="00DB08FA" w:rsidP="00DB08FA"/>
    <w:p w14:paraId="25DDE239" w14:textId="779755E7" w:rsidR="003C3553" w:rsidRDefault="003C3553" w:rsidP="00DB08FA"/>
    <w:p w14:paraId="03C77A8E" w14:textId="16B541FA" w:rsidR="003C3553" w:rsidRDefault="003C3553" w:rsidP="00DB08FA"/>
    <w:p w14:paraId="42B0C3A0" w14:textId="124DA69F" w:rsidR="003C3553" w:rsidRDefault="003C3553" w:rsidP="00DB08FA"/>
    <w:p w14:paraId="47FDDEE7" w14:textId="715D2625" w:rsidR="003C3553" w:rsidRDefault="003C3553" w:rsidP="00DB08FA"/>
    <w:p w14:paraId="1D8D5EAB" w14:textId="77777777" w:rsidR="003C3553" w:rsidRDefault="003C3553" w:rsidP="00DB08FA"/>
    <w:p w14:paraId="79ACC4F8" w14:textId="77777777" w:rsidR="003C3553" w:rsidRPr="00DB08FA" w:rsidRDefault="003C3553" w:rsidP="00DB08FA"/>
    <w:p w14:paraId="4EEE0014" w14:textId="77777777" w:rsidR="00DB08FA" w:rsidRPr="00872FD0" w:rsidRDefault="00DB08FA" w:rsidP="00DB08FA">
      <w:pPr>
        <w:tabs>
          <w:tab w:val="left" w:pos="3437"/>
        </w:tabs>
        <w:ind w:firstLine="426"/>
        <w:jc w:val="center"/>
        <w:rPr>
          <w:sz w:val="16"/>
        </w:rPr>
      </w:pPr>
      <w:r w:rsidRPr="00872FD0">
        <w:rPr>
          <w:sz w:val="16"/>
        </w:rPr>
        <w:t xml:space="preserve">Рис. 6. Графики распределения деформации по толщине стенки в верхнем и нижнем расчетных сечениях при </w:t>
      </w:r>
      <m:oMath>
        <m:r>
          <w:rPr>
            <w:rFonts w:ascii="Cambria Math" w:hAnsi="Cambria Math" w:cs="Times New Roman"/>
            <w:sz w:val="16"/>
          </w:rPr>
          <m:t>f=0,07</m:t>
        </m:r>
      </m:oMath>
    </w:p>
    <w:p w14:paraId="1B85E133" w14:textId="70C1F527" w:rsidR="00DB08FA" w:rsidRDefault="00DB08FA" w:rsidP="00DB08FA">
      <w:pPr>
        <w:tabs>
          <w:tab w:val="left" w:pos="3437"/>
        </w:tabs>
        <w:ind w:firstLine="426"/>
      </w:pPr>
      <w:r w:rsidRPr="00DB08FA">
        <w:t>Видно, что интенсивность деформации возрастает от внутренней поверхности к наружной в обоих сечениях. Однако, в нижнем расчетном сечении неравномерность распределения деформации выражена ярче и изменяется от 0,43 до 0,62.</w:t>
      </w:r>
    </w:p>
    <w:p w14:paraId="5BE6C417" w14:textId="77777777" w:rsidR="00727D18" w:rsidRDefault="00727D18" w:rsidP="00DB08FA">
      <w:pPr>
        <w:tabs>
          <w:tab w:val="left" w:pos="3437"/>
        </w:tabs>
        <w:ind w:firstLine="426"/>
      </w:pPr>
    </w:p>
    <w:p w14:paraId="7A1D2483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4B0E9E44" w14:textId="77777777" w:rsidR="00DB08FA" w:rsidRDefault="00DB08FA" w:rsidP="00DB08FA">
      <w:pPr>
        <w:tabs>
          <w:tab w:val="left" w:pos="3437"/>
        </w:tabs>
        <w:ind w:firstLine="426"/>
        <w:jc w:val="center"/>
      </w:pPr>
      <w:r w:rsidRPr="00DB08FA">
        <w:rPr>
          <w:noProof/>
          <w:lang w:eastAsia="ru-RU"/>
        </w:rPr>
        <w:lastRenderedPageBreak/>
        <w:drawing>
          <wp:anchor distT="0" distB="0" distL="114300" distR="114300" simplePos="0" relativeHeight="251657216" behindDoc="0" locked="0" layoutInCell="1" allowOverlap="1" wp14:anchorId="7E3862BE" wp14:editId="5431176C">
            <wp:simplePos x="0" y="0"/>
            <wp:positionH relativeFrom="margin">
              <wp:posOffset>2451735</wp:posOffset>
            </wp:positionH>
            <wp:positionV relativeFrom="paragraph">
              <wp:posOffset>479</wp:posOffset>
            </wp:positionV>
            <wp:extent cx="2543978" cy="2163170"/>
            <wp:effectExtent l="0" t="0" r="8890" b="8890"/>
            <wp:wrapNone/>
            <wp:docPr id="9" name="Рисунок 8">
              <a:extLst xmlns:a="http://schemas.openxmlformats.org/drawingml/2006/main">
                <a:ext uri="{FF2B5EF4-FFF2-40B4-BE49-F238E27FC236}">
                  <a16:creationId xmlns:a16="http://schemas.microsoft.com/office/drawing/2014/main" id="{C16566A9-76A4-4062-A457-7B18FD552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>
                      <a:extLst>
                        <a:ext uri="{FF2B5EF4-FFF2-40B4-BE49-F238E27FC236}">
                          <a16:creationId xmlns:a16="http://schemas.microsoft.com/office/drawing/2014/main" id="{C16566A9-76A4-4062-A457-7B18FD5527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978" cy="2163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08FA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7A5C6292" wp14:editId="453E8129">
            <wp:simplePos x="0" y="0"/>
            <wp:positionH relativeFrom="margin">
              <wp:align>left</wp:align>
            </wp:positionH>
            <wp:positionV relativeFrom="paragraph">
              <wp:posOffset>-9244</wp:posOffset>
            </wp:positionV>
            <wp:extent cx="2408830" cy="2097892"/>
            <wp:effectExtent l="0" t="0" r="0" b="0"/>
            <wp:wrapNone/>
            <wp:docPr id="11" name="Объект 5">
              <a:extLst xmlns:a="http://schemas.openxmlformats.org/drawingml/2006/main">
                <a:ext uri="{FF2B5EF4-FFF2-40B4-BE49-F238E27FC236}">
                  <a16:creationId xmlns:a16="http://schemas.microsoft.com/office/drawing/2014/main" id="{FD178442-1091-4829-822D-2515A01E489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5">
                      <a:extLst>
                        <a:ext uri="{FF2B5EF4-FFF2-40B4-BE49-F238E27FC236}">
                          <a16:creationId xmlns:a16="http://schemas.microsoft.com/office/drawing/2014/main" id="{FD178442-1091-4829-822D-2515A01E4899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277" cy="2106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DA671B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77B22676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087A6ACA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5B5F8CD7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7BAAFC8D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69A7B55D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61E5B2A2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4402E8BD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3EA7661D" w14:textId="77777777" w:rsidR="00DB08FA" w:rsidRDefault="00DB08FA" w:rsidP="00DB08FA">
      <w:pPr>
        <w:tabs>
          <w:tab w:val="left" w:pos="3437"/>
        </w:tabs>
        <w:ind w:firstLine="426"/>
        <w:jc w:val="center"/>
      </w:pPr>
    </w:p>
    <w:p w14:paraId="37053D01" w14:textId="77777777" w:rsidR="00DB08FA" w:rsidRPr="00872FD0" w:rsidRDefault="00DB08FA" w:rsidP="00DB08FA">
      <w:pPr>
        <w:tabs>
          <w:tab w:val="left" w:pos="3437"/>
        </w:tabs>
        <w:ind w:firstLine="426"/>
        <w:jc w:val="center"/>
        <w:rPr>
          <w:i/>
          <w:sz w:val="16"/>
        </w:rPr>
      </w:pPr>
      <w:r w:rsidRPr="00872FD0">
        <w:rPr>
          <w:sz w:val="16"/>
        </w:rPr>
        <w:t xml:space="preserve">Рис. 7. Графики распределения деформации по толщине стенки в верхнем и нижнем расчетных сечениях при </w:t>
      </w:r>
      <m:oMath>
        <m:r>
          <w:rPr>
            <w:rFonts w:ascii="Cambria Math" w:hAnsi="Cambria Math" w:cs="Times New Roman"/>
            <w:sz w:val="16"/>
          </w:rPr>
          <m:t>f=0,15</m:t>
        </m:r>
      </m:oMath>
    </w:p>
    <w:p w14:paraId="5F021A5D" w14:textId="77777777" w:rsidR="00DB08FA" w:rsidRDefault="00DB08FA" w:rsidP="00DB08FA">
      <w:pPr>
        <w:tabs>
          <w:tab w:val="left" w:pos="3437"/>
        </w:tabs>
        <w:ind w:firstLine="426"/>
      </w:pPr>
    </w:p>
    <w:p w14:paraId="6EBA5B2B" w14:textId="77777777" w:rsidR="00DB08FA" w:rsidRDefault="00DB08FA" w:rsidP="00DB08FA">
      <w:pPr>
        <w:contextualSpacing/>
      </w:pPr>
      <w:r w:rsidRPr="00DB08FA">
        <w:t xml:space="preserve">Для коэффициента трения 0,15 характер распределения деформации по толщине стенки сохраняется. Значение интенсивности деформации максимально в нижнем расчетном сечении и изменятся от 0,41 до 0,52. </w:t>
      </w:r>
    </w:p>
    <w:p w14:paraId="7E486459" w14:textId="77777777" w:rsidR="002E5BE6" w:rsidRDefault="002E5BE6" w:rsidP="00DB08FA">
      <w:pPr>
        <w:contextualSpacing/>
      </w:pPr>
    </w:p>
    <w:p w14:paraId="3A3EA18B" w14:textId="77777777" w:rsidR="006261C4" w:rsidRPr="00872FD0" w:rsidRDefault="002E5BE6" w:rsidP="002E5BE6">
      <w:pPr>
        <w:ind w:firstLine="0"/>
        <w:contextualSpacing/>
        <w:rPr>
          <w:sz w:val="16"/>
        </w:rPr>
      </w:pPr>
      <w:r w:rsidRPr="00872FD0">
        <w:rPr>
          <w:sz w:val="16"/>
        </w:rPr>
        <w:t>Табл. 2. Результаты исследования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46"/>
        <w:gridCol w:w="1300"/>
        <w:gridCol w:w="1215"/>
        <w:gridCol w:w="1211"/>
        <w:gridCol w:w="1476"/>
        <w:gridCol w:w="1578"/>
      </w:tblGrid>
      <w:tr w:rsidR="002E5BE6" w14:paraId="78F02306" w14:textId="77777777" w:rsidTr="002E5BE6">
        <w:tc>
          <w:tcPr>
            <w:tcW w:w="1146" w:type="dxa"/>
            <w:vMerge w:val="restart"/>
            <w:vAlign w:val="center"/>
          </w:tcPr>
          <w:p w14:paraId="0FC82B0A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Расчетное значение</w:t>
            </w:r>
          </w:p>
        </w:tc>
        <w:tc>
          <w:tcPr>
            <w:tcW w:w="1300" w:type="dxa"/>
            <w:vMerge w:val="restart"/>
            <w:vAlign w:val="center"/>
          </w:tcPr>
          <w:p w14:paraId="0D27D46F" w14:textId="77777777" w:rsidR="002E5BE6" w:rsidRPr="002E5BE6" w:rsidRDefault="002E5BE6" w:rsidP="002E5BE6">
            <w:pPr>
              <w:ind w:firstLine="0"/>
              <w:contextualSpacing/>
              <w:jc w:val="center"/>
            </w:pPr>
            <w:r>
              <w:t xml:space="preserve">Коэффициент трения </w:t>
            </w:r>
            <w:r>
              <w:rPr>
                <w:lang w:val="en-US"/>
              </w:rPr>
              <w:t>f</w:t>
            </w:r>
          </w:p>
        </w:tc>
        <w:tc>
          <w:tcPr>
            <w:tcW w:w="3902" w:type="dxa"/>
            <w:gridSpan w:val="3"/>
            <w:vAlign w:val="center"/>
          </w:tcPr>
          <w:p w14:paraId="4C0D69D6" w14:textId="77777777" w:rsidR="002E5BE6" w:rsidRDefault="002E5BE6" w:rsidP="002E5BE6">
            <w:pPr>
              <w:ind w:firstLine="0"/>
              <w:contextualSpacing/>
              <w:jc w:val="center"/>
            </w:pPr>
            <w:r w:rsidRPr="002E5BE6">
              <w:t>Интенсивность деформации по результатам моделирования ε</w:t>
            </w:r>
            <w:r w:rsidRPr="002E5BE6">
              <w:rPr>
                <w:vertAlign w:val="subscript"/>
              </w:rPr>
              <w:t>i</w:t>
            </w:r>
          </w:p>
        </w:tc>
        <w:tc>
          <w:tcPr>
            <w:tcW w:w="1578" w:type="dxa"/>
            <w:vMerge w:val="restart"/>
            <w:vAlign w:val="center"/>
          </w:tcPr>
          <w:p w14:paraId="39A20378" w14:textId="77777777" w:rsidR="002E5BE6" w:rsidRDefault="002E5BE6" w:rsidP="002E5BE6">
            <w:pPr>
              <w:ind w:firstLine="0"/>
              <w:contextualSpacing/>
              <w:jc w:val="center"/>
            </w:pPr>
            <w:r w:rsidRPr="002E5BE6">
              <w:t>Неравномерность интенсивности деформации по толщине стенки</w:t>
            </w:r>
          </w:p>
          <w:p w14:paraId="176BEC70" w14:textId="77777777" w:rsidR="002E5BE6" w:rsidRPr="002E5BE6" w:rsidRDefault="00C71F96" w:rsidP="002E5BE6">
            <w:pPr>
              <w:ind w:firstLine="0"/>
              <w:contextualSpacing/>
              <w:jc w:val="center"/>
              <w:rPr>
                <w:i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l-GR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iCs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l-GR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imax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l-GR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imin</m:t>
                        </m:r>
                      </m:sub>
                    </m:sSub>
                  </m:den>
                </m:f>
              </m:oMath>
            </m:oMathPara>
          </w:p>
          <w:p w14:paraId="225A3000" w14:textId="77777777" w:rsidR="002E5BE6" w:rsidRDefault="002E5BE6" w:rsidP="002E5BE6">
            <w:pPr>
              <w:ind w:firstLine="0"/>
              <w:contextualSpacing/>
              <w:jc w:val="center"/>
            </w:pPr>
          </w:p>
        </w:tc>
      </w:tr>
      <w:tr w:rsidR="002E5BE6" w14:paraId="243CA15E" w14:textId="77777777" w:rsidTr="002E5BE6">
        <w:tc>
          <w:tcPr>
            <w:tcW w:w="1146" w:type="dxa"/>
            <w:vMerge/>
            <w:vAlign w:val="center"/>
          </w:tcPr>
          <w:p w14:paraId="2F7C91C5" w14:textId="77777777" w:rsidR="002E5BE6" w:rsidRDefault="002E5BE6" w:rsidP="002E5BE6">
            <w:pPr>
              <w:ind w:firstLine="0"/>
              <w:contextualSpacing/>
              <w:jc w:val="center"/>
            </w:pPr>
          </w:p>
        </w:tc>
        <w:tc>
          <w:tcPr>
            <w:tcW w:w="1300" w:type="dxa"/>
            <w:vMerge/>
            <w:vAlign w:val="center"/>
          </w:tcPr>
          <w:p w14:paraId="58F0FE51" w14:textId="77777777" w:rsidR="002E5BE6" w:rsidRDefault="002E5BE6" w:rsidP="002E5BE6">
            <w:pPr>
              <w:ind w:firstLine="0"/>
              <w:contextualSpacing/>
              <w:jc w:val="center"/>
            </w:pPr>
          </w:p>
        </w:tc>
        <w:tc>
          <w:tcPr>
            <w:tcW w:w="1215" w:type="dxa"/>
            <w:vAlign w:val="center"/>
          </w:tcPr>
          <w:p w14:paraId="30595BC5" w14:textId="77777777" w:rsidR="002E5BE6" w:rsidRDefault="002E5BE6" w:rsidP="002E5BE6">
            <w:pPr>
              <w:ind w:firstLine="0"/>
              <w:contextualSpacing/>
              <w:jc w:val="center"/>
            </w:pPr>
            <w:r w:rsidRPr="002E5BE6">
              <w:t>Наружная поверхность</w:t>
            </w:r>
          </w:p>
        </w:tc>
        <w:tc>
          <w:tcPr>
            <w:tcW w:w="1211" w:type="dxa"/>
            <w:vAlign w:val="center"/>
          </w:tcPr>
          <w:p w14:paraId="6F224F15" w14:textId="77777777" w:rsidR="002E5BE6" w:rsidRDefault="002E5BE6" w:rsidP="002E5BE6">
            <w:pPr>
              <w:ind w:firstLine="0"/>
              <w:contextualSpacing/>
              <w:jc w:val="center"/>
            </w:pPr>
            <w:r w:rsidRPr="002E5BE6">
              <w:t>Внутренняя поверхность</w:t>
            </w:r>
          </w:p>
        </w:tc>
        <w:tc>
          <w:tcPr>
            <w:tcW w:w="1476" w:type="dxa"/>
            <w:vAlign w:val="center"/>
          </w:tcPr>
          <w:p w14:paraId="1240D384" w14:textId="77777777" w:rsidR="002E5BE6" w:rsidRDefault="002E5BE6" w:rsidP="002E5BE6">
            <w:pPr>
              <w:ind w:firstLine="0"/>
              <w:contextualSpacing/>
              <w:jc w:val="center"/>
            </w:pPr>
            <w:r w:rsidRPr="002E5BE6">
              <w:t>Среднее арифметическое значение по толщине стенки</w:t>
            </w:r>
          </w:p>
          <w:p w14:paraId="5BFF1E3B" w14:textId="77777777" w:rsidR="002E5BE6" w:rsidRPr="002E5BE6" w:rsidRDefault="002E5BE6" w:rsidP="002E5BE6">
            <w:pPr>
              <w:jc w:val="center"/>
            </w:pPr>
          </w:p>
        </w:tc>
        <w:tc>
          <w:tcPr>
            <w:tcW w:w="1578" w:type="dxa"/>
            <w:vMerge/>
            <w:vAlign w:val="center"/>
          </w:tcPr>
          <w:p w14:paraId="6537AEE0" w14:textId="77777777" w:rsidR="002E5BE6" w:rsidRDefault="002E5BE6" w:rsidP="002E5BE6">
            <w:pPr>
              <w:ind w:firstLine="0"/>
              <w:contextualSpacing/>
              <w:jc w:val="center"/>
            </w:pPr>
          </w:p>
        </w:tc>
      </w:tr>
      <w:tr w:rsidR="002E5BE6" w14:paraId="0948B9C4" w14:textId="77777777" w:rsidTr="002E5BE6">
        <w:tc>
          <w:tcPr>
            <w:tcW w:w="1146" w:type="dxa"/>
            <w:vMerge w:val="restart"/>
            <w:vAlign w:val="center"/>
          </w:tcPr>
          <w:p w14:paraId="45074C65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ВРС</w:t>
            </w:r>
          </w:p>
        </w:tc>
        <w:tc>
          <w:tcPr>
            <w:tcW w:w="1300" w:type="dxa"/>
            <w:vAlign w:val="center"/>
          </w:tcPr>
          <w:p w14:paraId="440A8FD7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0,07</w:t>
            </w:r>
          </w:p>
        </w:tc>
        <w:tc>
          <w:tcPr>
            <w:tcW w:w="1215" w:type="dxa"/>
            <w:vAlign w:val="center"/>
          </w:tcPr>
          <w:p w14:paraId="643CFA14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1,028</w:t>
            </w:r>
          </w:p>
        </w:tc>
        <w:tc>
          <w:tcPr>
            <w:tcW w:w="1211" w:type="dxa"/>
            <w:vAlign w:val="center"/>
          </w:tcPr>
          <w:p w14:paraId="1252BC57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0,963</w:t>
            </w:r>
          </w:p>
        </w:tc>
        <w:tc>
          <w:tcPr>
            <w:tcW w:w="1476" w:type="dxa"/>
            <w:vAlign w:val="center"/>
          </w:tcPr>
          <w:p w14:paraId="0B101EBD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0,996</w:t>
            </w:r>
          </w:p>
        </w:tc>
        <w:tc>
          <w:tcPr>
            <w:tcW w:w="1578" w:type="dxa"/>
            <w:vAlign w:val="center"/>
          </w:tcPr>
          <w:p w14:paraId="0477F6EE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1,070</w:t>
            </w:r>
          </w:p>
        </w:tc>
      </w:tr>
      <w:tr w:rsidR="002E5BE6" w14:paraId="76201152" w14:textId="77777777" w:rsidTr="002E5BE6">
        <w:tc>
          <w:tcPr>
            <w:tcW w:w="1146" w:type="dxa"/>
            <w:vMerge/>
            <w:vAlign w:val="center"/>
          </w:tcPr>
          <w:p w14:paraId="460B5B9C" w14:textId="77777777" w:rsidR="002E5BE6" w:rsidRDefault="002E5BE6" w:rsidP="002E5BE6">
            <w:pPr>
              <w:ind w:firstLine="0"/>
              <w:contextualSpacing/>
              <w:jc w:val="center"/>
            </w:pPr>
          </w:p>
        </w:tc>
        <w:tc>
          <w:tcPr>
            <w:tcW w:w="1300" w:type="dxa"/>
            <w:vAlign w:val="center"/>
          </w:tcPr>
          <w:p w14:paraId="3CC64D7C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0,15</w:t>
            </w:r>
          </w:p>
        </w:tc>
        <w:tc>
          <w:tcPr>
            <w:tcW w:w="1215" w:type="dxa"/>
            <w:vAlign w:val="center"/>
          </w:tcPr>
          <w:p w14:paraId="1E975169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1,288</w:t>
            </w:r>
          </w:p>
        </w:tc>
        <w:tc>
          <w:tcPr>
            <w:tcW w:w="1211" w:type="dxa"/>
            <w:vAlign w:val="center"/>
          </w:tcPr>
          <w:p w14:paraId="2E1AE7F0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1,240</w:t>
            </w:r>
          </w:p>
        </w:tc>
        <w:tc>
          <w:tcPr>
            <w:tcW w:w="1476" w:type="dxa"/>
            <w:vAlign w:val="center"/>
          </w:tcPr>
          <w:p w14:paraId="59409DE7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1,264</w:t>
            </w:r>
          </w:p>
        </w:tc>
        <w:tc>
          <w:tcPr>
            <w:tcW w:w="1578" w:type="dxa"/>
            <w:vAlign w:val="center"/>
          </w:tcPr>
          <w:p w14:paraId="1EF69E35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1,040</w:t>
            </w:r>
          </w:p>
        </w:tc>
      </w:tr>
      <w:tr w:rsidR="002E5BE6" w14:paraId="0AD724B0" w14:textId="77777777" w:rsidTr="002E5BE6">
        <w:tc>
          <w:tcPr>
            <w:tcW w:w="1146" w:type="dxa"/>
            <w:vMerge w:val="restart"/>
            <w:vAlign w:val="center"/>
          </w:tcPr>
          <w:p w14:paraId="47456E3A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НРС</w:t>
            </w:r>
          </w:p>
        </w:tc>
        <w:tc>
          <w:tcPr>
            <w:tcW w:w="1300" w:type="dxa"/>
            <w:vAlign w:val="center"/>
          </w:tcPr>
          <w:p w14:paraId="4DA26F3A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0,07</w:t>
            </w:r>
          </w:p>
        </w:tc>
        <w:tc>
          <w:tcPr>
            <w:tcW w:w="1215" w:type="dxa"/>
            <w:vAlign w:val="center"/>
          </w:tcPr>
          <w:p w14:paraId="6B91DAD6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0,621</w:t>
            </w:r>
          </w:p>
        </w:tc>
        <w:tc>
          <w:tcPr>
            <w:tcW w:w="1211" w:type="dxa"/>
            <w:vAlign w:val="center"/>
          </w:tcPr>
          <w:p w14:paraId="55852A9E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0,433</w:t>
            </w:r>
          </w:p>
        </w:tc>
        <w:tc>
          <w:tcPr>
            <w:tcW w:w="1476" w:type="dxa"/>
            <w:vAlign w:val="center"/>
          </w:tcPr>
          <w:p w14:paraId="70C0D85F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0,527</w:t>
            </w:r>
          </w:p>
        </w:tc>
        <w:tc>
          <w:tcPr>
            <w:tcW w:w="1578" w:type="dxa"/>
            <w:vAlign w:val="center"/>
          </w:tcPr>
          <w:p w14:paraId="3139A0B6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1,434</w:t>
            </w:r>
          </w:p>
        </w:tc>
      </w:tr>
      <w:tr w:rsidR="002E5BE6" w14:paraId="31784F11" w14:textId="77777777" w:rsidTr="002E5BE6">
        <w:tc>
          <w:tcPr>
            <w:tcW w:w="1146" w:type="dxa"/>
            <w:vMerge/>
            <w:vAlign w:val="center"/>
          </w:tcPr>
          <w:p w14:paraId="7AA71ABF" w14:textId="77777777" w:rsidR="002E5BE6" w:rsidRDefault="002E5BE6" w:rsidP="002E5BE6">
            <w:pPr>
              <w:ind w:firstLine="0"/>
              <w:contextualSpacing/>
              <w:jc w:val="center"/>
            </w:pPr>
          </w:p>
        </w:tc>
        <w:tc>
          <w:tcPr>
            <w:tcW w:w="1300" w:type="dxa"/>
            <w:vAlign w:val="center"/>
          </w:tcPr>
          <w:p w14:paraId="77BA1508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0,15</w:t>
            </w:r>
          </w:p>
        </w:tc>
        <w:tc>
          <w:tcPr>
            <w:tcW w:w="1215" w:type="dxa"/>
            <w:vAlign w:val="center"/>
          </w:tcPr>
          <w:p w14:paraId="38C5D9A7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0,522</w:t>
            </w:r>
          </w:p>
        </w:tc>
        <w:tc>
          <w:tcPr>
            <w:tcW w:w="1211" w:type="dxa"/>
            <w:vAlign w:val="center"/>
          </w:tcPr>
          <w:p w14:paraId="193BBE5A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0,412</w:t>
            </w:r>
          </w:p>
        </w:tc>
        <w:tc>
          <w:tcPr>
            <w:tcW w:w="1476" w:type="dxa"/>
            <w:vAlign w:val="center"/>
          </w:tcPr>
          <w:p w14:paraId="24023EA4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0,466</w:t>
            </w:r>
          </w:p>
        </w:tc>
        <w:tc>
          <w:tcPr>
            <w:tcW w:w="1578" w:type="dxa"/>
            <w:vAlign w:val="center"/>
          </w:tcPr>
          <w:p w14:paraId="0529D90C" w14:textId="77777777" w:rsidR="002E5BE6" w:rsidRDefault="002E5BE6" w:rsidP="002E5BE6">
            <w:pPr>
              <w:ind w:firstLine="0"/>
              <w:contextualSpacing/>
              <w:jc w:val="center"/>
            </w:pPr>
            <w:r>
              <w:t>1,273</w:t>
            </w:r>
          </w:p>
        </w:tc>
      </w:tr>
    </w:tbl>
    <w:p w14:paraId="6F7E115F" w14:textId="77777777" w:rsidR="006261C4" w:rsidRDefault="006261C4" w:rsidP="00DB08FA">
      <w:pPr>
        <w:contextualSpacing/>
      </w:pPr>
    </w:p>
    <w:p w14:paraId="526D4D51" w14:textId="77777777" w:rsidR="00DB08FA" w:rsidRDefault="00DB08FA" w:rsidP="00DB08FA">
      <w:pPr>
        <w:contextualSpacing/>
      </w:pPr>
      <w:r>
        <w:t>В результате моделирования процесса с различными условиями контактного трения было выявлено что, с увеличением коэффициента трения неравномерность распределения деформации по объему детали уменьшается.</w:t>
      </w:r>
    </w:p>
    <w:p w14:paraId="463BF42B" w14:textId="77777777" w:rsidR="00DB08FA" w:rsidRDefault="00DB08FA" w:rsidP="00DB08FA">
      <w:pPr>
        <w:contextualSpacing/>
      </w:pPr>
      <w:r>
        <w:t>Таким образом</w:t>
      </w:r>
      <w:bookmarkStart w:id="3" w:name="_GoBack"/>
      <w:bookmarkEnd w:id="3"/>
      <w:r>
        <w:t>, на этом этапе уже можно дать рекомендации по выбору смазочных материалов для вытяжки с утонением, обеспечивающих наибольшее трение.</w:t>
      </w:r>
    </w:p>
    <w:p w14:paraId="0512E400" w14:textId="77777777" w:rsidR="00DB08FA" w:rsidRDefault="00DB08FA" w:rsidP="00DB08FA">
      <w:pPr>
        <w:contextualSpacing/>
      </w:pPr>
      <w:r>
        <w:t>Задачей дальнейших исследований является выявление и моделирование с помощью МКЭ такой комбинации технологических факторов, при которой неравномерность механических свойств будет сведена к минимуму.</w:t>
      </w:r>
    </w:p>
    <w:p w14:paraId="40C18753" w14:textId="77777777" w:rsidR="002E5BE6" w:rsidRPr="00872FD0" w:rsidRDefault="002E5BE6" w:rsidP="002E5BE6">
      <w:pPr>
        <w:spacing w:after="0"/>
        <w:jc w:val="center"/>
        <w:rPr>
          <w:b/>
          <w:sz w:val="16"/>
          <w:szCs w:val="18"/>
        </w:rPr>
      </w:pPr>
      <w:r w:rsidRPr="00872FD0">
        <w:rPr>
          <w:b/>
          <w:sz w:val="16"/>
          <w:szCs w:val="18"/>
        </w:rPr>
        <w:t>Библиографический список</w:t>
      </w:r>
    </w:p>
    <w:p w14:paraId="5B716540" w14:textId="77777777" w:rsidR="002E5BE6" w:rsidRPr="00872FD0" w:rsidRDefault="002E5BE6" w:rsidP="002E5BE6">
      <w:pPr>
        <w:contextualSpacing/>
        <w:rPr>
          <w:sz w:val="16"/>
        </w:rPr>
      </w:pPr>
      <w:r w:rsidRPr="00872FD0">
        <w:rPr>
          <w:sz w:val="16"/>
        </w:rPr>
        <w:t>1.</w:t>
      </w:r>
      <w:r w:rsidRPr="00872FD0">
        <w:rPr>
          <w:sz w:val="16"/>
        </w:rPr>
        <w:tab/>
        <w:t xml:space="preserve">Агеев Н.П., </w:t>
      </w:r>
      <w:proofErr w:type="spellStart"/>
      <w:r w:rsidRPr="00872FD0">
        <w:rPr>
          <w:sz w:val="16"/>
        </w:rPr>
        <w:t>Затеруха</w:t>
      </w:r>
      <w:proofErr w:type="spellEnd"/>
      <w:r w:rsidRPr="00872FD0">
        <w:rPr>
          <w:sz w:val="16"/>
        </w:rPr>
        <w:t xml:space="preserve"> Е.В. Исследование неравномерности распределения степени деформации и механических свойств по сечению полых деталей, штампуемых способами вытяжки с утонением // Металлообработка. Обработка металлов давлением. 2014. № 3(81). с.36-43.2.</w:t>
      </w:r>
      <w:r w:rsidRPr="00872FD0">
        <w:rPr>
          <w:sz w:val="16"/>
        </w:rPr>
        <w:tab/>
      </w:r>
    </w:p>
    <w:p w14:paraId="284629E2" w14:textId="77777777" w:rsidR="002E5BE6" w:rsidRPr="00872FD0" w:rsidRDefault="002E5BE6" w:rsidP="002E5BE6">
      <w:pPr>
        <w:contextualSpacing/>
        <w:rPr>
          <w:sz w:val="16"/>
        </w:rPr>
      </w:pPr>
      <w:r w:rsidRPr="00872FD0">
        <w:rPr>
          <w:sz w:val="16"/>
        </w:rPr>
        <w:t>2.</w:t>
      </w:r>
      <w:r w:rsidRPr="00872FD0">
        <w:rPr>
          <w:sz w:val="16"/>
        </w:rPr>
        <w:tab/>
        <w:t xml:space="preserve">Агеев, Н.П. Технология производства патронов стрелкового оружия. Ч. 1. Технологические основы проектирования патронов / Н.П. Агеев, Г.А. Данилин, В.П. Огородников; Балт. гос. </w:t>
      </w:r>
      <w:proofErr w:type="spellStart"/>
      <w:r w:rsidRPr="00872FD0">
        <w:rPr>
          <w:sz w:val="16"/>
        </w:rPr>
        <w:t>техн</w:t>
      </w:r>
      <w:proofErr w:type="spellEnd"/>
      <w:r w:rsidRPr="00872FD0">
        <w:rPr>
          <w:sz w:val="16"/>
        </w:rPr>
        <w:t>. ун-т. – СПб., 2005. – 352 с.</w:t>
      </w:r>
    </w:p>
    <w:sectPr w:rsidR="002E5BE6" w:rsidRPr="00872FD0" w:rsidSect="00663C8C">
      <w:type w:val="continuous"/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4E361" w14:textId="77777777" w:rsidR="00C71F96" w:rsidRDefault="00C71F96" w:rsidP="003C3553">
      <w:pPr>
        <w:spacing w:after="0"/>
      </w:pPr>
      <w:r>
        <w:separator/>
      </w:r>
    </w:p>
  </w:endnote>
  <w:endnote w:type="continuationSeparator" w:id="0">
    <w:p w14:paraId="34B5B635" w14:textId="77777777" w:rsidR="00C71F96" w:rsidRDefault="00C71F96" w:rsidP="003C35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59E20" w14:textId="77777777" w:rsidR="00C71F96" w:rsidRDefault="00C71F96" w:rsidP="003C3553">
      <w:pPr>
        <w:spacing w:after="0"/>
      </w:pPr>
      <w:r>
        <w:separator/>
      </w:r>
    </w:p>
  </w:footnote>
  <w:footnote w:type="continuationSeparator" w:id="0">
    <w:p w14:paraId="711D2ECF" w14:textId="77777777" w:rsidR="00C71F96" w:rsidRDefault="00C71F96" w:rsidP="003C35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C03"/>
    <w:multiLevelType w:val="hybridMultilevel"/>
    <w:tmpl w:val="8E861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95F75"/>
    <w:multiLevelType w:val="hybridMultilevel"/>
    <w:tmpl w:val="C7BAB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D54"/>
    <w:rsid w:val="0001366C"/>
    <w:rsid w:val="00043D11"/>
    <w:rsid w:val="000C411C"/>
    <w:rsid w:val="000D66E4"/>
    <w:rsid w:val="000F6906"/>
    <w:rsid w:val="00123BDB"/>
    <w:rsid w:val="0018149D"/>
    <w:rsid w:val="001960D5"/>
    <w:rsid w:val="001C71CB"/>
    <w:rsid w:val="00270C97"/>
    <w:rsid w:val="002A7DC7"/>
    <w:rsid w:val="002D33AD"/>
    <w:rsid w:val="002E5BE6"/>
    <w:rsid w:val="0032287B"/>
    <w:rsid w:val="003834DE"/>
    <w:rsid w:val="003B200E"/>
    <w:rsid w:val="003C3553"/>
    <w:rsid w:val="00403C5A"/>
    <w:rsid w:val="005746F2"/>
    <w:rsid w:val="006261C4"/>
    <w:rsid w:val="00663C8C"/>
    <w:rsid w:val="00670503"/>
    <w:rsid w:val="006C4395"/>
    <w:rsid w:val="006D5D54"/>
    <w:rsid w:val="00727D18"/>
    <w:rsid w:val="007515B7"/>
    <w:rsid w:val="007C4421"/>
    <w:rsid w:val="0082307A"/>
    <w:rsid w:val="00872FD0"/>
    <w:rsid w:val="00882D5D"/>
    <w:rsid w:val="00893CF2"/>
    <w:rsid w:val="008B301A"/>
    <w:rsid w:val="008D5ABB"/>
    <w:rsid w:val="00A97697"/>
    <w:rsid w:val="00B07288"/>
    <w:rsid w:val="00B24B69"/>
    <w:rsid w:val="00C126EB"/>
    <w:rsid w:val="00C33D12"/>
    <w:rsid w:val="00C71F96"/>
    <w:rsid w:val="00CE46F2"/>
    <w:rsid w:val="00D07999"/>
    <w:rsid w:val="00D20849"/>
    <w:rsid w:val="00DB08FA"/>
    <w:rsid w:val="00DB6CCB"/>
    <w:rsid w:val="00DD2D20"/>
    <w:rsid w:val="00E66EEC"/>
    <w:rsid w:val="00EE7731"/>
    <w:rsid w:val="00F1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E9C0"/>
  <w15:docId w15:val="{A574479A-282F-4893-B34D-1B097EA3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Тезисы"/>
    <w:qFormat/>
    <w:rsid w:val="00DB08FA"/>
    <w:pPr>
      <w:spacing w:line="240" w:lineRule="auto"/>
      <w:ind w:firstLine="357"/>
      <w:jc w:val="both"/>
    </w:pPr>
    <w:rPr>
      <w:rFonts w:ascii="Times New Roman" w:hAnsi="Times New Roman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D5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C33D1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E773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731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EE773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773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7731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773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7731"/>
    <w:rPr>
      <w:rFonts w:ascii="Times New Roman" w:hAnsi="Times New Roman"/>
      <w:b/>
      <w:bCs/>
      <w:sz w:val="20"/>
      <w:szCs w:val="20"/>
    </w:rPr>
  </w:style>
  <w:style w:type="paragraph" w:styleId="ac">
    <w:name w:val="Normal (Web)"/>
    <w:basedOn w:val="a"/>
    <w:uiPriority w:val="99"/>
    <w:semiHidden/>
    <w:unhideWhenUsed/>
    <w:rsid w:val="006261C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626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3C3553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C3553"/>
    <w:rPr>
      <w:rFonts w:ascii="Times New Roman" w:hAnsi="Times New Roman"/>
      <w:sz w:val="18"/>
    </w:rPr>
  </w:style>
  <w:style w:type="paragraph" w:styleId="af0">
    <w:name w:val="footer"/>
    <w:basedOn w:val="a"/>
    <w:link w:val="af1"/>
    <w:uiPriority w:val="99"/>
    <w:unhideWhenUsed/>
    <w:rsid w:val="003C3553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C3553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48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02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3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A0D36-7EDF-478D-922D-1DBC39E8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Сидоров</dc:creator>
  <cp:keywords/>
  <dc:description/>
  <cp:lastModifiedBy>Андрей Сидоров</cp:lastModifiedBy>
  <cp:revision>11</cp:revision>
  <dcterms:created xsi:type="dcterms:W3CDTF">2019-03-11T18:10:00Z</dcterms:created>
  <dcterms:modified xsi:type="dcterms:W3CDTF">2019-05-03T08:15:00Z</dcterms:modified>
</cp:coreProperties>
</file>